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8"/>
          <w:tab w:val="left" w:pos="2947" w:leader="none"/>
        </w:tabs>
        <w:spacing w:before="33" w:after="0"/>
        <w:ind w:right="1980" w:hanging="0"/>
        <w:rPr>
          <w:sz w:val="28"/>
        </w:rPr>
      </w:pPr>
      <w:r>
        <w:rPr>
          <w:sz w:val="28"/>
        </w:rPr>
      </w:r>
    </w:p>
    <w:p>
      <w:pPr>
        <w:pStyle w:val="Normal"/>
        <w:tabs>
          <w:tab w:val="clear" w:pos="708"/>
          <w:tab w:val="left" w:pos="2947" w:leader="none"/>
        </w:tabs>
        <w:spacing w:before="33" w:after="0"/>
        <w:ind w:right="1980" w:hanging="0"/>
        <w:rPr/>
      </w:pPr>
      <w:r>
        <w:rPr/>
        <w:drawing>
          <wp:inline distT="0" distB="0" distL="0" distR="0">
            <wp:extent cx="1395095" cy="663575"/>
            <wp:effectExtent l="0" t="0" r="0" b="0"/>
            <wp:docPr id="1" name="Immagine 1" descr="\\ad01\LLPP\MAURO\2021\strade 2021\progetto definitivo esecutivo\Logo_Com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ad01\LLPP\MAURO\2021\strade 2021\progetto definitivo esecutivo\Logo_Comune.jpg"/>
                    <pic:cNvPicPr>
                      <a:picLocks noChangeAspect="1" noChangeArrowheads="1"/>
                    </pic:cNvPicPr>
                  </pic:nvPicPr>
                  <pic:blipFill>
                    <a:blip r:embed="rId2"/>
                    <a:stretch>
                      <a:fillRect/>
                    </a:stretch>
                  </pic:blipFill>
                  <pic:spPr bwMode="auto">
                    <a:xfrm>
                      <a:off x="0" y="0"/>
                      <a:ext cx="1395095" cy="663575"/>
                    </a:xfrm>
                    <a:prstGeom prst="rect">
                      <a:avLst/>
                    </a:prstGeom>
                  </pic:spPr>
                </pic:pic>
              </a:graphicData>
            </a:graphic>
          </wp:inline>
        </w:drawing>
      </w:r>
      <w:r>
        <w:rPr>
          <w:sz w:val="28"/>
        </w:rPr>
        <w:t xml:space="preserve">       </w:t>
      </w:r>
      <w:r>
        <w:rPr>
          <w:sz w:val="20"/>
          <w:szCs w:val="20"/>
        </w:rPr>
        <w:t>SETTORE LAVORI PUBBLICI SERVIZI E MANUTENZIONI</w:t>
      </w:r>
    </w:p>
    <w:p>
      <w:pPr>
        <w:pStyle w:val="Normal"/>
        <w:tabs>
          <w:tab w:val="clear" w:pos="708"/>
          <w:tab w:val="left" w:pos="2947" w:leader="none"/>
        </w:tabs>
        <w:spacing w:before="33" w:after="0"/>
        <w:ind w:left="2947" w:right="1980" w:hanging="2835"/>
        <w:rPr>
          <w:sz w:val="28"/>
        </w:rPr>
      </w:pPr>
      <w:r>
        <w:rPr>
          <w:sz w:val="28"/>
        </w:rPr>
      </w:r>
    </w:p>
    <w:p>
      <w:pPr>
        <w:pStyle w:val="Normal"/>
        <w:tabs>
          <w:tab w:val="clear" w:pos="708"/>
          <w:tab w:val="left" w:pos="2947" w:leader="none"/>
        </w:tabs>
        <w:spacing w:before="33" w:after="0"/>
        <w:ind w:left="2947" w:right="1980" w:hanging="2835"/>
        <w:rPr>
          <w:sz w:val="28"/>
        </w:rPr>
      </w:pPr>
      <w:r>
        <w:rPr>
          <w:sz w:val="28"/>
        </w:rPr>
      </w:r>
    </w:p>
    <w:p>
      <w:pPr>
        <w:pStyle w:val="Normal"/>
        <w:tabs>
          <w:tab w:val="clear" w:pos="708"/>
          <w:tab w:val="left" w:pos="2947" w:leader="none"/>
        </w:tabs>
        <w:spacing w:before="33" w:after="0"/>
        <w:ind w:left="2947" w:right="1980" w:hanging="2835"/>
        <w:rPr>
          <w:sz w:val="28"/>
        </w:rPr>
      </w:pPr>
      <w:r>
        <w:rPr>
          <w:sz w:val="28"/>
        </w:rPr>
      </w:r>
    </w:p>
    <w:p>
      <w:pPr>
        <w:pStyle w:val="Normal"/>
        <w:tabs>
          <w:tab w:val="clear" w:pos="708"/>
          <w:tab w:val="left" w:pos="2947" w:leader="none"/>
        </w:tabs>
        <w:spacing w:before="33" w:after="0"/>
        <w:ind w:left="2947" w:right="1980" w:hanging="2835"/>
        <w:rPr>
          <w:sz w:val="28"/>
        </w:rPr>
      </w:pPr>
      <w:r>
        <w:rPr>
          <w:sz w:val="28"/>
        </w:rPr>
      </w:r>
    </w:p>
    <w:p>
      <w:pPr>
        <w:pStyle w:val="Normal"/>
        <w:tabs>
          <w:tab w:val="clear" w:pos="708"/>
          <w:tab w:val="left" w:pos="2947" w:leader="none"/>
        </w:tabs>
        <w:spacing w:before="33" w:after="0"/>
        <w:ind w:left="2947" w:right="1980" w:hanging="2835"/>
        <w:jc w:val="both"/>
        <w:rPr>
          <w:b/>
          <w:b/>
          <w:sz w:val="26"/>
        </w:rPr>
      </w:pPr>
      <w:r>
        <w:rPr>
          <w:sz w:val="28"/>
        </w:rPr>
        <w:t>Oggetto:</w:t>
      </w:r>
      <w:r>
        <w:rPr>
          <w:rFonts w:ascii="Times New Roman" w:hAnsi="Times New Roman"/>
          <w:sz w:val="28"/>
        </w:rPr>
        <w:tab/>
      </w:r>
      <w:r>
        <w:rPr>
          <w:b/>
          <w:sz w:val="28"/>
        </w:rPr>
        <w:t>LAVORI</w:t>
      </w:r>
      <w:r>
        <w:rPr>
          <w:b/>
          <w:spacing w:val="-6"/>
          <w:sz w:val="28"/>
        </w:rPr>
        <w:t xml:space="preserve"> </w:t>
      </w:r>
      <w:r>
        <w:rPr>
          <w:b/>
          <w:sz w:val="28"/>
        </w:rPr>
        <w:t>DI</w:t>
      </w:r>
      <w:r>
        <w:rPr>
          <w:b/>
          <w:spacing w:val="-2"/>
          <w:sz w:val="28"/>
        </w:rPr>
        <w:t xml:space="preserve"> MANUTENZIONE STRAORDINARIA PER LA </w:t>
      </w:r>
      <w:r>
        <w:rPr>
          <w:b/>
          <w:sz w:val="28"/>
        </w:rPr>
        <w:t>PULIZIA DELLE CADITOIE STRADALI DEL TERRITORIO COMUNALE DI VALEGGIO SUL MINCIO</w:t>
      </w:r>
    </w:p>
    <w:p>
      <w:pPr>
        <w:pStyle w:val="Normal"/>
        <w:tabs>
          <w:tab w:val="clear" w:pos="708"/>
          <w:tab w:val="left" w:pos="2947" w:leader="none"/>
        </w:tabs>
        <w:spacing w:before="33" w:after="0"/>
        <w:ind w:left="2947" w:right="1980" w:hanging="2835"/>
        <w:rPr/>
      </w:pPr>
      <w:r>
        <w:rPr/>
      </w:r>
    </w:p>
    <w:p>
      <w:pPr>
        <w:pStyle w:val="Normal"/>
        <w:spacing w:before="1" w:after="0"/>
        <w:ind w:left="2949" w:hanging="0"/>
        <w:rPr>
          <w:b/>
          <w:b/>
          <w:i/>
          <w:i/>
          <w:sz w:val="20"/>
        </w:rPr>
      </w:pPr>
      <w:r>
        <w:rPr>
          <w:b/>
          <w:i/>
          <w:sz w:val="20"/>
        </w:rPr>
      </w:r>
    </w:p>
    <w:p>
      <w:pPr>
        <w:pStyle w:val="Corpodeltesto"/>
        <w:jc w:val="center"/>
        <w:rPr>
          <w:b/>
          <w:b/>
          <w:i/>
          <w:i/>
          <w:sz w:val="20"/>
        </w:rPr>
      </w:pPr>
      <w:r>
        <w:rPr>
          <w:b/>
          <w:i/>
          <w:sz w:val="20"/>
        </w:rPr>
      </w:r>
    </w:p>
    <w:p>
      <w:pPr>
        <w:pStyle w:val="Normal"/>
        <w:spacing w:before="1" w:after="0"/>
        <w:ind w:left="2949" w:hanging="0"/>
        <w:rPr>
          <w:rFonts w:ascii="Calibri" w:hAnsi="Calibri"/>
          <w:b/>
          <w:b/>
          <w:i/>
          <w:i/>
          <w:sz w:val="20"/>
        </w:rPr>
      </w:pPr>
      <w:r>
        <w:rPr>
          <w:b/>
          <w:i/>
          <w:sz w:val="20"/>
        </w:rPr>
      </w:r>
    </w:p>
    <w:p>
      <w:pPr>
        <w:pStyle w:val="Corpodeltesto"/>
        <w:spacing w:before="11" w:after="0"/>
        <w:rPr>
          <w:rFonts w:ascii="Calibri" w:hAnsi="Calibri"/>
          <w:b/>
          <w:b/>
          <w:i/>
          <w:i/>
          <w:sz w:val="23"/>
        </w:rPr>
      </w:pPr>
      <w:r>
        <w:rPr>
          <w:b/>
          <w:i/>
          <w:sz w:val="23"/>
        </w:rPr>
      </w:r>
    </w:p>
    <w:p>
      <w:pPr>
        <w:pStyle w:val="Normal"/>
        <w:tabs>
          <w:tab w:val="clear" w:pos="708"/>
          <w:tab w:val="left" w:pos="2949" w:leader="none"/>
        </w:tabs>
        <w:ind w:left="112" w:hanging="0"/>
        <w:rPr/>
      </w:pPr>
      <w:r>
        <w:rPr>
          <w:sz w:val="28"/>
        </w:rPr>
        <w:t>Livello</w:t>
      </w:r>
      <w:r>
        <w:rPr>
          <w:spacing w:val="-5"/>
          <w:sz w:val="28"/>
        </w:rPr>
        <w:t xml:space="preserve"> </w:t>
      </w:r>
      <w:r>
        <w:rPr>
          <w:sz w:val="28"/>
        </w:rPr>
        <w:t>progettuale:</w:t>
        <w:tab/>
      </w:r>
      <w:r>
        <w:rPr>
          <w:b/>
          <w:sz w:val="28"/>
        </w:rPr>
        <w:t>Progetto</w:t>
      </w:r>
      <w:r>
        <w:rPr>
          <w:b/>
          <w:spacing w:val="-2"/>
          <w:sz w:val="28"/>
        </w:rPr>
        <w:t xml:space="preserve"> </w:t>
      </w:r>
    </w:p>
    <w:p>
      <w:pPr>
        <w:pStyle w:val="Corpodeltesto"/>
        <w:rPr>
          <w:rFonts w:ascii="Calibri" w:hAnsi="Calibri"/>
          <w:b/>
          <w:b/>
          <w:sz w:val="20"/>
        </w:rPr>
      </w:pPr>
      <w:r>
        <w:rPr>
          <w:b/>
          <w:sz w:val="20"/>
        </w:rPr>
      </w:r>
    </w:p>
    <w:p>
      <w:pPr>
        <w:pStyle w:val="Corpodeltesto"/>
        <w:rPr>
          <w:rFonts w:ascii="Calibri" w:hAnsi="Calibri"/>
          <w:b/>
          <w:b/>
          <w:sz w:val="20"/>
        </w:rPr>
      </w:pPr>
      <w:r>
        <w:rPr>
          <w:b/>
          <w:sz w:val="20"/>
        </w:rPr>
      </w:r>
    </w:p>
    <w:p>
      <w:pPr>
        <w:pStyle w:val="Corpodeltesto"/>
        <w:rPr>
          <w:rFonts w:ascii="Calibri" w:hAnsi="Calibri"/>
          <w:b/>
          <w:b/>
          <w:sz w:val="20"/>
        </w:rPr>
      </w:pPr>
      <w:r>
        <w:rPr>
          <w:b/>
          <w:sz w:val="20"/>
        </w:rPr>
      </w:r>
    </w:p>
    <w:p>
      <w:pPr>
        <w:pStyle w:val="Normal"/>
        <w:tabs>
          <w:tab w:val="clear" w:pos="708"/>
          <w:tab w:val="left" w:pos="2951" w:leader="none"/>
        </w:tabs>
        <w:spacing w:lineRule="exact" w:line="336"/>
        <w:ind w:left="112" w:hanging="0"/>
        <w:rPr/>
      </w:pPr>
      <w:r>
        <w:rPr>
          <w:sz w:val="28"/>
        </w:rPr>
        <w:t>Titolo</w:t>
      </w:r>
      <w:r>
        <w:rPr>
          <w:spacing w:val="-4"/>
          <w:sz w:val="28"/>
        </w:rPr>
        <w:t xml:space="preserve"> </w:t>
      </w:r>
      <w:r>
        <w:rPr>
          <w:sz w:val="28"/>
        </w:rPr>
        <w:t>dell’elaborato:</w:t>
        <w:tab/>
      </w:r>
      <w:r>
        <w:rPr>
          <w:rFonts w:eastAsia="Times New Roman" w:cs="Times New Roman"/>
          <w:sz w:val="28"/>
          <w:szCs w:val="24"/>
          <w:lang w:eastAsia="it-IT"/>
        </w:rPr>
        <w:t>Relazione tecnica</w:t>
        <w:tab/>
        <w:tab/>
        <w:tab/>
        <w:tab/>
        <w:tab/>
        <w:tab/>
      </w:r>
      <w:r>
        <w:rPr>
          <w:rFonts w:eastAsia="Times New Roman" w:cs="Times New Roman"/>
          <w:b/>
          <w:bCs/>
          <w:sz w:val="28"/>
          <w:szCs w:val="24"/>
          <w:lang w:eastAsia="it-IT"/>
        </w:rPr>
        <w:t>R01</w:t>
      </w:r>
      <w:r>
        <w:rPr>
          <w:rFonts w:eastAsia="Times New Roman" w:cs="Times New Roman"/>
          <w:sz w:val="28"/>
          <w:szCs w:val="24"/>
          <w:lang w:eastAsia="it-IT"/>
        </w:rPr>
        <w:tab/>
        <w:tab/>
      </w:r>
    </w:p>
    <w:p>
      <w:pPr>
        <w:pStyle w:val="Normal"/>
        <w:rPr>
          <w:rFonts w:ascii="Calibri" w:hAnsi="Calibri" w:eastAsia="Arial Unicode MS"/>
          <w:b/>
          <w:b/>
          <w:bCs/>
          <w:sz w:val="20"/>
          <w:szCs w:val="20"/>
          <w:lang w:val="de-DE"/>
        </w:rPr>
      </w:pPr>
      <w:r>
        <w:rPr>
          <w:rFonts w:eastAsia="Arial Unicode MS"/>
          <w:b/>
          <w:bCs/>
          <w:sz w:val="20"/>
          <w:szCs w:val="20"/>
          <w:lang w:val="de-DE"/>
        </w:rPr>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jc w:val="center"/>
        <w:rPr/>
      </w:pPr>
      <w:r>
        <w:rPr>
          <w:sz w:val="20"/>
          <w:szCs w:val="20"/>
        </w:rPr>
        <w:t xml:space="preserve">                 </w:t>
      </w:r>
      <w:r>
        <w:rPr>
          <w:b/>
          <w:bCs/>
          <w:sz w:val="20"/>
          <w:szCs w:val="20"/>
        </w:rPr>
        <w:t>RUP: Arch. Annalisa Scaramuzzi</w:t>
      </w:r>
    </w:p>
    <w:p>
      <w:pPr>
        <w:pStyle w:val="Normal"/>
        <w:jc w:val="center"/>
        <w:rPr/>
      </w:pPr>
      <w:r>
        <w:rPr>
          <w:sz w:val="20"/>
          <w:szCs w:val="20"/>
        </w:rPr>
        <w:tab/>
        <w:tab/>
      </w:r>
      <w:r>
        <w:rPr>
          <w:i/>
          <w:iCs/>
          <w:sz w:val="20"/>
          <w:szCs w:val="20"/>
        </w:rPr>
        <w:t>documento sottoscritto con firma digitale ai sensi del Dlgs n.81/2005 e norme collegate</w:t>
      </w:r>
    </w:p>
    <w:p>
      <w:pPr>
        <w:pStyle w:val="Normal"/>
        <w:rPr>
          <w:spacing w:val="20"/>
          <w:sz w:val="20"/>
          <w:szCs w:val="20"/>
        </w:rPr>
      </w:pPr>
      <w:r>
        <w:rPr/>
      </w:r>
    </w:p>
    <w:p>
      <w:pPr>
        <w:pStyle w:val="Normal"/>
        <w:rPr>
          <w:spacing w:val="20"/>
          <w:sz w:val="20"/>
          <w:szCs w:val="20"/>
        </w:rPr>
      </w:pPr>
      <w:r>
        <w:rPr/>
      </w:r>
    </w:p>
    <w:p>
      <w:pPr>
        <w:pStyle w:val="Normal"/>
        <w:rPr/>
      </w:pPr>
      <w:r>
        <w:rPr>
          <w:spacing w:val="20"/>
          <w:sz w:val="20"/>
          <w:szCs w:val="20"/>
        </w:rPr>
        <w:t xml:space="preserve">DATA EMISSIONE : </w:t>
        <w:tab/>
      </w:r>
      <w:r>
        <w:rPr>
          <w:rFonts w:eastAsia="Times New Roman" w:cs="Times New Roman"/>
          <w:spacing w:val="20"/>
          <w:sz w:val="20"/>
          <w:szCs w:val="20"/>
          <w:lang w:eastAsia="it-IT"/>
        </w:rPr>
        <w:t>LUGLIO</w:t>
      </w:r>
      <w:r>
        <w:rPr>
          <w:spacing w:val="20"/>
          <w:sz w:val="20"/>
          <w:szCs w:val="20"/>
        </w:rPr>
        <w:t xml:space="preserve"> 2026 </w:t>
      </w:r>
    </w:p>
    <w:p>
      <w:pPr>
        <w:pStyle w:val="NoSpacing"/>
        <w:ind w:firstLine="709"/>
        <w:rPr>
          <w:rFonts w:cs="Calibri" w:cstheme="minorHAnsi"/>
          <w:sz w:val="24"/>
          <w:szCs w:val="44"/>
        </w:rPr>
      </w:pPr>
      <w:r>
        <w:rPr>
          <w:rFonts w:cs="Calibri" w:cstheme="minorHAnsi"/>
          <w:sz w:val="24"/>
          <w:szCs w:val="44"/>
        </w:rPr>
      </w:r>
    </w:p>
    <w:p>
      <w:pPr>
        <w:pStyle w:val="NoSpacing"/>
        <w:ind w:firstLine="709"/>
        <w:rPr>
          <w:rFonts w:cs="Calibri" w:cstheme="minorHAnsi"/>
          <w:sz w:val="24"/>
          <w:szCs w:val="44"/>
        </w:rPr>
      </w:pPr>
      <w:r>
        <w:rPr>
          <w:rFonts w:cs="Calibri" w:cstheme="minorHAnsi"/>
          <w:sz w:val="24"/>
          <w:szCs w:val="44"/>
        </w:rPr>
      </w:r>
    </w:p>
    <w:p>
      <w:pPr>
        <w:pStyle w:val="NoSpacing"/>
        <w:ind w:firstLine="709"/>
        <w:rPr>
          <w:rFonts w:cs="Calibri" w:cstheme="minorHAnsi"/>
          <w:sz w:val="24"/>
          <w:szCs w:val="44"/>
        </w:rPr>
      </w:pPr>
      <w:r>
        <w:rPr>
          <w:rFonts w:cs="Calibri" w:cstheme="minorHAnsi"/>
          <w:sz w:val="24"/>
          <w:szCs w:val="44"/>
        </w:rPr>
      </w:r>
    </w:p>
    <w:p>
      <w:pPr>
        <w:pStyle w:val="NoSpacing"/>
        <w:ind w:firstLine="709"/>
        <w:rPr>
          <w:rFonts w:cs="Calibri" w:cstheme="minorHAnsi"/>
          <w:sz w:val="24"/>
          <w:szCs w:val="44"/>
        </w:rPr>
      </w:pPr>
      <w:r>
        <w:rPr>
          <w:rFonts w:cs="Calibri" w:cstheme="minorHAnsi"/>
          <w:b/>
          <w:sz w:val="24"/>
          <w:szCs w:val="44"/>
        </w:rPr>
        <w:t>PREMESSA</w:t>
      </w:r>
    </w:p>
    <w:p>
      <w:pPr>
        <w:pStyle w:val="NoSpacing"/>
        <w:ind w:firstLine="709"/>
        <w:rPr/>
      </w:pPr>
      <w:r>
        <w:rPr>
          <w:rFonts w:cs="Calibri" w:cstheme="minorHAnsi"/>
          <w:b/>
          <w:sz w:val="24"/>
          <w:szCs w:val="44"/>
        </w:rPr>
        <w:t>Riferimento normativo per la redazione della relazione</w:t>
      </w:r>
    </w:p>
    <w:p>
      <w:pPr>
        <w:pStyle w:val="NoSpacing"/>
        <w:jc w:val="both"/>
        <w:rPr/>
      </w:pPr>
      <w:r>
        <w:rPr>
          <w:rFonts w:cs="Calibri" w:cstheme="minorHAnsi"/>
          <w:sz w:val="24"/>
          <w:szCs w:val="44"/>
        </w:rPr>
        <w:tab/>
        <w:t>La presente relazione ed il progetto cui riferisce, sono stati redatti  ai sensi della Sezione III progetto definitivo di cui al DPR 207/2010.</w:t>
      </w:r>
    </w:p>
    <w:p>
      <w:pPr>
        <w:pStyle w:val="NoSpacing"/>
        <w:jc w:val="both"/>
        <w:rPr/>
      </w:pPr>
      <w:r>
        <w:rPr>
          <w:rFonts w:cs="Calibri" w:cstheme="minorHAnsi"/>
          <w:sz w:val="24"/>
          <w:szCs w:val="44"/>
        </w:rPr>
        <w:tab/>
        <w:t>In particolare stante la la tipologia di intervento non sono stati elaborate relazioni specialistiche di dettaglio.</w:t>
      </w:r>
    </w:p>
    <w:p>
      <w:pPr>
        <w:pStyle w:val="NoSpacing"/>
        <w:jc w:val="both"/>
        <w:rPr/>
      </w:pPr>
      <w:r>
        <w:rPr>
          <w:rFonts w:eastAsia="Calibri" w:cs="Calibri" w:cstheme="minorHAnsi"/>
          <w:sz w:val="24"/>
          <w:szCs w:val="44"/>
        </w:rPr>
        <w:tab/>
        <w:t>Gli</w:t>
      </w:r>
      <w:r>
        <w:rPr>
          <w:rFonts w:cs="Calibri" w:cstheme="minorHAnsi"/>
          <w:sz w:val="24"/>
          <w:szCs w:val="44"/>
        </w:rPr>
        <w:t xml:space="preserve"> elaborati che compongono il progetto sono conformi ai disposti dell’art </w:t>
      </w:r>
      <w:r>
        <w:rPr>
          <w:rStyle w:val="Enfasiforte"/>
          <w:rFonts w:cs="Calibri" w:cstheme="minorHAnsi"/>
          <w:b w:val="false"/>
          <w:sz w:val="24"/>
          <w:szCs w:val="44"/>
        </w:rPr>
        <w:t>1, comma 6, decreto-legge n. 32/2019, convertito dalla legge n. 55/2019</w:t>
      </w:r>
      <w:r>
        <w:rPr>
          <w:rFonts w:cs="Calibri" w:cstheme="minorHAnsi"/>
          <w:sz w:val="24"/>
          <w:szCs w:val="44"/>
        </w:rPr>
        <w:t>, laddove specifica che “</w:t>
      </w:r>
      <w:r>
        <w:rPr>
          <w:rFonts w:cs="Calibri" w:cstheme="minorHAnsi"/>
          <w:i/>
          <w:iCs/>
          <w:sz w:val="24"/>
          <w:szCs w:val="44"/>
        </w:rPr>
        <w:t xml:space="preserve">..]Per gli anni </w:t>
      </w:r>
      <w:r>
        <w:rPr>
          <w:rStyle w:val="Enfasiforte"/>
          <w:rFonts w:cs="Calibri" w:cstheme="minorHAnsi"/>
          <w:b w:val="false"/>
          <w:i/>
          <w:iCs/>
          <w:sz w:val="24"/>
          <w:szCs w:val="44"/>
        </w:rPr>
        <w:t>dal 2019 al 2023</w:t>
      </w:r>
      <w:r>
        <w:rPr>
          <w:rFonts w:cs="Calibri" w:cstheme="minorHAnsi"/>
          <w:i/>
          <w:iCs/>
          <w:sz w:val="24"/>
          <w:szCs w:val="44"/>
        </w:rPr>
        <w:t>, i contratti di lavori di manutenzione ordinaria e straordinaria, ad esclusione degli interventi di manutenzione straordinaria che prevedono il rinnovo o la sostituzione di patti strutturali delle opere o di impianti, possono essere affidati, nel rispetto delle procedure di scelta del contraente previste dal decreto legislativo</w:t>
      </w:r>
      <w:bookmarkStart w:id="0" w:name="OBJ_PREFIX_DWT2886_com_zimbra_date"/>
      <w:bookmarkStart w:id="1" w:name="OBJ_PREFIX_DWT2885_com_zimbra_date"/>
      <w:bookmarkEnd w:id="0"/>
      <w:bookmarkEnd w:id="1"/>
      <w:r>
        <w:rPr>
          <w:rFonts w:cs="Calibri" w:cstheme="minorHAnsi"/>
          <w:i/>
          <w:iCs/>
          <w:sz w:val="24"/>
          <w:szCs w:val="44"/>
        </w:rPr>
        <w:t xml:space="preserve"> 18 aprile 2016, n. 50, </w:t>
      </w:r>
      <w:r>
        <w:rPr>
          <w:rFonts w:cs="Calibri" w:cstheme="minorHAnsi"/>
          <w:i/>
          <w:iCs/>
          <w:sz w:val="24"/>
          <w:szCs w:val="44"/>
          <w:u w:val="single"/>
        </w:rPr>
        <w:t>sulla base del progetto definitivo costituito almeno da una relazione generale, dall’elenco dei prezzi unitari delle lavorazioni previste, dal computo metrico-estimativo, dal piano di sicurezza e di coordinamento con l’individuazione analitica dei costi della sicurezza da non assoggettare a ribasso.</w:t>
      </w:r>
      <w:r>
        <w:rPr>
          <w:rFonts w:cs="Calibri" w:cstheme="minorHAnsi"/>
          <w:i/>
          <w:iCs/>
          <w:sz w:val="24"/>
          <w:szCs w:val="44"/>
        </w:rPr>
        <w:t xml:space="preserve"> L’esecuzione dei predetti lavori può prescindere dall’avvenuta redazione e approvazione del progetto esecutivo.</w:t>
      </w:r>
      <w:r>
        <w:rPr>
          <w:rFonts w:cs="Calibri" w:cstheme="minorHAnsi"/>
          <w:b/>
          <w:i/>
          <w:iCs/>
          <w:sz w:val="24"/>
          <w:szCs w:val="44"/>
        </w:rPr>
        <w:t>”</w:t>
      </w:r>
    </w:p>
    <w:p>
      <w:pPr>
        <w:pStyle w:val="NoSpacing"/>
        <w:jc w:val="both"/>
        <w:rPr>
          <w:rFonts w:cs="Calibri" w:cstheme="minorHAnsi"/>
          <w:sz w:val="24"/>
          <w:szCs w:val="44"/>
        </w:rPr>
      </w:pPr>
      <w:r>
        <w:rPr>
          <w:rFonts w:cs="Calibri" w:cstheme="minorHAnsi"/>
          <w:sz w:val="24"/>
          <w:szCs w:val="44"/>
        </w:rPr>
        <w:t>come riportato nell’</w:t>
      </w:r>
      <w:bookmarkStart w:id="2" w:name="023"/>
      <w:bookmarkEnd w:id="2"/>
      <w:r>
        <w:rPr>
          <w:rFonts w:cs="Calibri" w:cstheme="minorHAnsi"/>
          <w:color w:val="000000"/>
          <w:sz w:val="24"/>
          <w:szCs w:val="44"/>
        </w:rPr>
        <w:t xml:space="preserve">Art. </w:t>
      </w:r>
      <w:r>
        <w:rPr>
          <w:rFonts w:cs="Calibri" w:cstheme="minorHAnsi"/>
          <w:iCs/>
          <w:color w:val="000000"/>
          <w:sz w:val="24"/>
          <w:szCs w:val="44"/>
        </w:rPr>
        <w:t>23. (Livelli della progettazione per gli appalti, per le concessioni di lavori nonché per i servizi)</w:t>
      </w:r>
      <w:r>
        <w:rPr>
          <w:rFonts w:cs="Calibri" w:cstheme="minorHAnsi"/>
          <w:b/>
          <w:i/>
          <w:iCs/>
          <w:sz w:val="24"/>
          <w:szCs w:val="44"/>
        </w:rPr>
        <w:t xml:space="preserve"> </w:t>
      </w:r>
      <w:r>
        <w:rPr>
          <w:rFonts w:cs="Calibri" w:cstheme="minorHAnsi"/>
          <w:sz w:val="24"/>
          <w:szCs w:val="44"/>
        </w:rPr>
        <w:t xml:space="preserve"> comma 3</w:t>
      </w:r>
      <w:r>
        <w:rPr>
          <w:rFonts w:cs="Calibri" w:cstheme="minorHAnsi"/>
          <w:color w:val="000000"/>
          <w:sz w:val="24"/>
          <w:szCs w:val="44"/>
        </w:rPr>
        <w:t xml:space="preserve">-bis. </w:t>
      </w:r>
    </w:p>
    <w:p>
      <w:pPr>
        <w:pStyle w:val="NoSpacing"/>
        <w:jc w:val="both"/>
        <w:rPr/>
      </w:pPr>
      <w:r>
        <w:rPr>
          <w:rFonts w:cs="Calibri" w:cstheme="minorHAnsi"/>
          <w:iCs/>
          <w:color w:val="000000"/>
          <w:sz w:val="24"/>
          <w:szCs w:val="44"/>
        </w:rPr>
        <w:tab/>
        <w:t>Con ulteriore decreto del Ministro delle infrastrutture e dei trasporti, su proposta del Consiglio superiore dei lavori pubblici, sentita la Conferenza unificata, è disciplinata una progettazione semplificata degli interventi di manutenzione ordinaria fino a un importo di 2.500.000 euro. Tale decreto individua le modalità e i criteri di semplificazione in relazione agli interventi previsti.</w:t>
      </w:r>
      <w:r>
        <w:rPr>
          <w:rFonts w:cs="Calibri" w:cstheme="minorHAnsi"/>
          <w:iCs/>
          <w:color w:val="000000"/>
          <w:sz w:val="28"/>
          <w:szCs w:val="44"/>
        </w:rPr>
        <w:br/>
      </w:r>
      <w:r>
        <w:rPr>
          <w:rFonts w:cs="Calibri" w:cstheme="minorHAnsi"/>
          <w:i/>
          <w:iCs/>
          <w:sz w:val="20"/>
          <w:szCs w:val="44"/>
        </w:rPr>
        <w:t>(fino al 30 giugno 2023, i contratti di lavori di manutenzione ordinaria e straordinaria, ad esclusione degli interventi di manutenzione straordinaria che prevedono il rinnovo o la sostituzione di parti strutturali delle opere o di impianti, possono essere affidati, nel rispetto delle procedure di scelta del contraente, sulla base del progetto definitivo costituito almeno da una relazione generale, dall’elenco dei prezzi unitari delle lavorazioni previste, dal computo metrico-estimativo, dal piano di sicurezza e di coordinamento con l’individuazione analitica dei costi della sicurezza da non assoggettare a ribasso. L’esecuzione dei predetti lavori può prescindere dall’avvenuta redazione e approvazione del progetto esecutivo, ai sensi dell'art. 1, comma 6, della legge n. 55 del 2019 come modificato dall'art. 52, comma 1, lettera a), legge n. 108 del 2021).</w:t>
      </w:r>
      <w:r>
        <w:rPr>
          <w:rFonts w:cs="Calibri" w:cstheme="minorHAnsi"/>
          <w:b/>
          <w:i/>
          <w:iCs/>
          <w:sz w:val="24"/>
          <w:szCs w:val="44"/>
        </w:rPr>
        <w:t xml:space="preserve"> </w:t>
      </w:r>
    </w:p>
    <w:p>
      <w:pPr>
        <w:pStyle w:val="NoSpacing"/>
        <w:jc w:val="both"/>
        <w:rPr>
          <w:rFonts w:cs="Calibri" w:cstheme="minorHAnsi"/>
          <w:b/>
          <w:b/>
          <w:i/>
          <w:i/>
          <w:iCs/>
          <w:sz w:val="24"/>
          <w:szCs w:val="44"/>
        </w:rPr>
      </w:pPr>
      <w:r>
        <w:rPr>
          <w:rFonts w:cs="Calibri" w:cstheme="minorHAnsi"/>
          <w:b/>
          <w:i/>
          <w:iCs/>
          <w:sz w:val="24"/>
          <w:szCs w:val="44"/>
        </w:rPr>
      </w:r>
    </w:p>
    <w:p>
      <w:pPr>
        <w:pStyle w:val="NoSpacing"/>
        <w:jc w:val="both"/>
        <w:rPr>
          <w:rFonts w:cs="Calibri" w:cstheme="minorHAnsi"/>
          <w:b/>
          <w:b/>
          <w:i/>
          <w:i/>
          <w:iCs/>
          <w:sz w:val="24"/>
          <w:szCs w:val="44"/>
        </w:rPr>
      </w:pPr>
      <w:r>
        <w:rPr>
          <w:rFonts w:cs="Calibri" w:cstheme="minorHAnsi"/>
          <w:b/>
          <w:i/>
          <w:iCs/>
          <w:sz w:val="24"/>
          <w:szCs w:val="44"/>
        </w:rPr>
      </w:r>
    </w:p>
    <w:p>
      <w:pPr>
        <w:pStyle w:val="NoSpacing"/>
        <w:jc w:val="both"/>
        <w:rPr>
          <w:rFonts w:cs="Calibri" w:cstheme="minorHAnsi"/>
          <w:b/>
          <w:b/>
          <w:i/>
          <w:i/>
          <w:iCs/>
          <w:sz w:val="24"/>
          <w:szCs w:val="44"/>
        </w:rPr>
      </w:pPr>
      <w:r>
        <w:rPr>
          <w:rFonts w:cs="Calibri" w:cstheme="minorHAnsi"/>
          <w:b/>
          <w:i/>
          <w:iCs/>
          <w:sz w:val="24"/>
          <w:szCs w:val="44"/>
        </w:rPr>
      </w:r>
    </w:p>
    <w:p>
      <w:pPr>
        <w:pStyle w:val="NoSpacing"/>
        <w:ind w:firstLine="709"/>
        <w:jc w:val="both"/>
        <w:rPr/>
      </w:pPr>
      <w:r>
        <w:rPr>
          <w:rFonts w:eastAsia="Calibri" w:cs="Calibri" w:cstheme="minorHAnsi"/>
          <w:b/>
          <w:i/>
          <w:iCs/>
          <w:sz w:val="24"/>
          <w:szCs w:val="44"/>
        </w:rPr>
        <w:t>T</w:t>
      </w:r>
      <w:r>
        <w:rPr>
          <w:rFonts w:cs="Calibri" w:cstheme="minorHAnsi"/>
          <w:b/>
          <w:i/>
          <w:iCs/>
          <w:sz w:val="24"/>
          <w:szCs w:val="44"/>
        </w:rPr>
        <w:t>ipologia di lavori previsti rispetto al Codice degli Appalti.</w:t>
      </w:r>
    </w:p>
    <w:p>
      <w:pPr>
        <w:pStyle w:val="NoSpacing"/>
        <w:ind w:firstLine="709"/>
        <w:rPr/>
      </w:pPr>
      <w:r>
        <w:rPr>
          <w:rFonts w:eastAsia="Calibri" w:cs="Calibri" w:cstheme="minorHAnsi"/>
          <w:iCs/>
          <w:sz w:val="24"/>
          <w:szCs w:val="44"/>
        </w:rPr>
        <w:t>La tipologia di lavori previsto per l’intervento in oggetto rientra nella fattispecie:</w:t>
      </w:r>
    </w:p>
    <w:p>
      <w:pPr>
        <w:pStyle w:val="NoSpacing"/>
        <w:rPr>
          <w:rFonts w:ascii="Calibri" w:hAnsi="Calibri" w:eastAsia="Calibri" w:cs="Calibri" w:cstheme="minorHAnsi"/>
          <w:i/>
          <w:i/>
          <w:iCs/>
          <w:sz w:val="24"/>
          <w:szCs w:val="44"/>
        </w:rPr>
      </w:pPr>
      <w:r>
        <w:rPr>
          <w:rFonts w:eastAsia="Calibri" w:cs="Calibri" w:cstheme="minorHAnsi"/>
          <w:i/>
          <w:iCs/>
          <w:sz w:val="24"/>
          <w:szCs w:val="44"/>
        </w:rPr>
        <w:t>“</w:t>
      </w:r>
      <w:r>
        <w:rPr>
          <w:rFonts w:eastAsia="Calibri" w:cs="Calibri" w:cstheme="minorHAnsi"/>
          <w:i/>
          <w:iCs/>
          <w:sz w:val="24"/>
          <w:szCs w:val="44"/>
        </w:rPr>
        <w:t>[…] oo-quinquies) «manutenzione straordinaria», fermo restando quanto previsto dal decreto del Presidente della Repubblica 6 giugno 2001, n. 380, e dal decreto legislativo 22 gennaio 2004, n. 42, le opere e le modifiche necessarie per rinnovare e sostituire parti anche strutturali dei manufatti e delle relative pertinenze, per adeguarne le componenti, gli impianti e le opere connesse all'uso e alle prescrizioni vigenti e con la finalità di rimediare al rilevante degrado dovuto alla perdita di caratteristiche strutturali, tecnologiche e impiantistiche, anche al fine di migliorare le prestazioni, le caratteristiche strutturali, energetiche e di efficienza tipologica, nonché per incrementare il valore del bene e la sua funzionalità”.</w:t>
      </w:r>
    </w:p>
    <w:p>
      <w:pPr>
        <w:pStyle w:val="NoSpacing"/>
        <w:rPr>
          <w:sz w:val="24"/>
        </w:rPr>
      </w:pPr>
      <w:r>
        <w:rPr>
          <w:sz w:val="24"/>
        </w:rPr>
        <w:tab/>
      </w:r>
    </w:p>
    <w:p>
      <w:pPr>
        <w:pStyle w:val="NoSpacing"/>
        <w:rPr>
          <w:sz w:val="24"/>
        </w:rPr>
      </w:pPr>
      <w:r>
        <w:rPr>
          <w:sz w:val="24"/>
        </w:rPr>
      </w:r>
    </w:p>
    <w:p>
      <w:pPr>
        <w:pStyle w:val="NoSpacing"/>
        <w:rPr>
          <w:sz w:val="24"/>
        </w:rPr>
      </w:pPr>
      <w:r>
        <w:rPr>
          <w:sz w:val="24"/>
        </w:rPr>
      </w:r>
    </w:p>
    <w:p>
      <w:pPr>
        <w:pStyle w:val="NoSpacing"/>
        <w:rPr>
          <w:sz w:val="24"/>
        </w:rPr>
      </w:pPr>
      <w:r>
        <w:rPr>
          <w:sz w:val="24"/>
        </w:rPr>
      </w:r>
    </w:p>
    <w:p>
      <w:pPr>
        <w:pStyle w:val="NoSpacing"/>
        <w:jc w:val="both"/>
        <w:rPr>
          <w:sz w:val="24"/>
        </w:rPr>
      </w:pPr>
      <w:r>
        <w:rPr>
          <w:sz w:val="24"/>
        </w:rPr>
      </w:r>
    </w:p>
    <w:p>
      <w:pPr>
        <w:pStyle w:val="NoSpacing"/>
        <w:jc w:val="both"/>
        <w:rPr>
          <w:b/>
          <w:b/>
          <w:sz w:val="24"/>
        </w:rPr>
      </w:pPr>
      <w:r>
        <w:rPr>
          <w:b/>
          <w:sz w:val="24"/>
        </w:rPr>
      </w:r>
    </w:p>
    <w:p>
      <w:pPr>
        <w:pStyle w:val="NoSpacing"/>
        <w:ind w:firstLine="709"/>
        <w:jc w:val="both"/>
        <w:rPr/>
      </w:pPr>
      <w:r>
        <w:rPr>
          <w:b/>
          <w:sz w:val="24"/>
        </w:rPr>
        <w:t>1) TIPOLOGIA DELL’OPERA E/O INTERVENTO:</w:t>
      </w:r>
    </w:p>
    <w:p>
      <w:pPr>
        <w:pStyle w:val="NoSpacing"/>
        <w:widowControl w:val="false"/>
        <w:ind w:firstLine="709"/>
        <w:mirrorIndents/>
        <w:jc w:val="both"/>
        <w:rPr>
          <w:sz w:val="24"/>
        </w:rPr>
      </w:pPr>
      <w:r>
        <w:rPr>
          <w:sz w:val="24"/>
        </w:rPr>
        <w:t xml:space="preserve">L’intervento consiste nella pulizia e nel lavaggio delle caditoie stradali del territorio di Valeggio sul Mincio. </w:t>
      </w:r>
    </w:p>
    <w:p>
      <w:pPr>
        <w:pStyle w:val="NoSpacing"/>
        <w:jc w:val="both"/>
        <w:rPr>
          <w:sz w:val="24"/>
        </w:rPr>
      </w:pPr>
      <w:r>
        <w:rPr>
          <w:sz w:val="24"/>
        </w:rPr>
        <w:tab/>
        <w:t>Tale operazione è necessaria al fine di assicurare un efficiente sistema di drenaggio urbano e quindi garantire il corretto raccoglimento e convogliamento dalle zone urbanizzate delle acque meteoriche. Il servizio verrà espletato in modo funzionale alle diverse situazioni in cui versano le varie caditoie (presenza o meno di fogliame, fango o altri detriti ecc.).</w:t>
      </w:r>
    </w:p>
    <w:p>
      <w:pPr>
        <w:pStyle w:val="NoSpacing"/>
        <w:rPr>
          <w:sz w:val="24"/>
        </w:rPr>
      </w:pPr>
      <w:r>
        <w:rPr>
          <w:sz w:val="24"/>
        </w:rPr>
      </w:r>
    </w:p>
    <w:p>
      <w:pPr>
        <w:pStyle w:val="NoSpacing"/>
        <w:ind w:firstLine="709"/>
        <w:rPr/>
      </w:pPr>
      <w:r>
        <w:rPr>
          <w:b/>
          <w:sz w:val="24"/>
        </w:rPr>
        <w:t>2) DESTINAZIONE D’USO:</w:t>
      </w:r>
    </w:p>
    <w:p>
      <w:pPr>
        <w:pStyle w:val="NoSpacing"/>
        <w:ind w:firstLine="709"/>
        <w:jc w:val="both"/>
        <w:rPr>
          <w:sz w:val="24"/>
        </w:rPr>
      </w:pPr>
      <w:r>
        <w:rPr>
          <w:sz w:val="24"/>
        </w:rPr>
        <w:t>Si tratta di un’opera di manutenzione straordinaria data l’eccezionalità della pulizia delle caditoie destinata a diventare una manutenzione ordinaria e quindi da programmare annualmente o biennalmente.</w:t>
      </w:r>
    </w:p>
    <w:p>
      <w:pPr>
        <w:pStyle w:val="NoSpacing"/>
        <w:ind w:firstLine="709"/>
        <w:jc w:val="both"/>
        <w:rPr/>
      </w:pPr>
      <w:r>
        <w:rPr>
          <w:sz w:val="24"/>
        </w:rPr>
        <w:t>La loro pulizia permette di evitare che foglie ed altri detriti urbani intasino per accumulo le caditoie e, di conseguenza, evitare fenomeni di allagamento che possono causare seri danni e disagi ai fruitori delle aree oggetto di interesse in caso di maltempo.</w:t>
      </w:r>
    </w:p>
    <w:p>
      <w:pPr>
        <w:pStyle w:val="NoSpacing"/>
        <w:rPr>
          <w:sz w:val="24"/>
        </w:rPr>
      </w:pPr>
      <w:r>
        <w:rPr>
          <w:sz w:val="24"/>
        </w:rPr>
      </w:r>
    </w:p>
    <w:p>
      <w:pPr>
        <w:pStyle w:val="NoSpacing"/>
        <w:ind w:firstLine="709"/>
        <w:rPr/>
      </w:pPr>
      <w:r>
        <w:rPr>
          <w:b/>
          <w:sz w:val="24"/>
        </w:rPr>
        <w:t>3) DESCRIZIONE SINTETICA DELL’INTERVENTO E DELLE CARATTERISTICHE DELL’OPERA</w:t>
      </w:r>
    </w:p>
    <w:p>
      <w:pPr>
        <w:pStyle w:val="NoSpacing"/>
        <w:ind w:firstLine="709"/>
        <w:rPr>
          <w:sz w:val="24"/>
        </w:rPr>
      </w:pPr>
      <w:r>
        <w:rPr>
          <w:sz w:val="24"/>
        </w:rPr>
        <w:t>Sulla base dell’ultimo censimento sono state individuate un totale di circa 2800 caditoie presenti nel territorio comunale di Valeggio sul Mincio per le quali si prevedono, più precisamente, i seguenti interventi:</w:t>
      </w:r>
    </w:p>
    <w:p>
      <w:pPr>
        <w:pStyle w:val="NoSpacing"/>
        <w:numPr>
          <w:ilvl w:val="0"/>
          <w:numId w:val="1"/>
        </w:numPr>
        <w:rPr/>
      </w:pPr>
      <w:r>
        <w:rPr/>
        <w:t>Servizio di pulitura e lavaggio caditoie;</w:t>
      </w:r>
    </w:p>
    <w:p>
      <w:pPr>
        <w:pStyle w:val="NoSpacing"/>
        <w:numPr>
          <w:ilvl w:val="0"/>
          <w:numId w:val="1"/>
        </w:numPr>
        <w:rPr/>
      </w:pPr>
      <w:r>
        <w:rPr>
          <w:sz w:val="24"/>
        </w:rPr>
        <w:t>Video ispezione;</w:t>
      </w:r>
    </w:p>
    <w:p>
      <w:pPr>
        <w:pStyle w:val="NoSpacing"/>
        <w:numPr>
          <w:ilvl w:val="0"/>
          <w:numId w:val="1"/>
        </w:numPr>
        <w:rPr/>
      </w:pPr>
      <w:r>
        <w:rPr>
          <w:sz w:val="24"/>
        </w:rPr>
        <w:t>Smaltimento rifiuto.</w:t>
      </w:r>
    </w:p>
    <w:p>
      <w:pPr>
        <w:pStyle w:val="NoSpacing"/>
        <w:rPr>
          <w:b/>
          <w:b/>
          <w:sz w:val="24"/>
        </w:rPr>
      </w:pPr>
      <w:r>
        <w:rPr>
          <w:b/>
          <w:sz w:val="24"/>
        </w:rPr>
      </w:r>
    </w:p>
    <w:p>
      <w:pPr>
        <w:pStyle w:val="NoSpacing"/>
        <w:ind w:firstLine="709"/>
        <w:rPr/>
      </w:pPr>
      <w:r>
        <w:rPr>
          <w:b/>
          <w:sz w:val="24"/>
        </w:rPr>
        <w:t>4) EFFETTI CONSEGUENTI ALLA REALIZZAZIONE DELL’OPERA</w:t>
      </w:r>
    </w:p>
    <w:p>
      <w:pPr>
        <w:pStyle w:val="NoSpacing"/>
        <w:ind w:firstLine="709"/>
        <w:jc w:val="both"/>
        <w:rPr/>
      </w:pPr>
      <w:r>
        <w:rPr>
          <w:sz w:val="24"/>
        </w:rPr>
        <w:t>L’intervento descritto è necessario al fine di garantire una maggiore sicurezza e assicurare la viabilità delle strade e delle piazze interessate evitando situazioni che possono essere pericolose per i cittadini, specie in caso di maltempo.</w:t>
      </w:r>
    </w:p>
    <w:p>
      <w:pPr>
        <w:pStyle w:val="NoSpacing"/>
        <w:jc w:val="both"/>
        <w:rPr>
          <w:sz w:val="24"/>
        </w:rPr>
      </w:pPr>
      <w:r>
        <w:rPr>
          <w:sz w:val="24"/>
        </w:rPr>
      </w:r>
    </w:p>
    <w:p>
      <w:pPr>
        <w:pStyle w:val="NoSpacing"/>
        <w:ind w:firstLine="709"/>
        <w:rPr>
          <w:b/>
          <w:b/>
          <w:sz w:val="24"/>
        </w:rPr>
      </w:pPr>
      <w:r>
        <w:rPr>
          <w:b/>
          <w:sz w:val="24"/>
        </w:rPr>
        <w:t>5) INDICAZIONI DEI CONTENUTI PRECETTIVI DELLA DISCIPLINA PAESAGGISTICA VIGENTE IN RIFERIMENTO ALLA TIPOLOGIA DI INTERVENTO: CONFORMITA’ CON I CONTENUTI DELLA DISCIPLINA</w:t>
      </w:r>
    </w:p>
    <w:p>
      <w:pPr>
        <w:pStyle w:val="NoSpacing"/>
        <w:ind w:firstLine="709"/>
        <w:jc w:val="both"/>
        <w:rPr>
          <w:sz w:val="24"/>
        </w:rPr>
      </w:pPr>
      <w:r>
        <w:rPr>
          <w:sz w:val="24"/>
        </w:rPr>
        <w:t>Si conferma la conformità con i contenuti della disciplina urbanistica.</w:t>
      </w:r>
    </w:p>
    <w:p>
      <w:pPr>
        <w:pStyle w:val="NoSpacing"/>
        <w:jc w:val="both"/>
        <w:rPr>
          <w:sz w:val="24"/>
        </w:rPr>
      </w:pPr>
      <w:r>
        <w:rPr>
          <w:sz w:val="24"/>
        </w:rPr>
      </w:r>
    </w:p>
    <w:p>
      <w:pPr>
        <w:pStyle w:val="NoSpacing"/>
        <w:rPr/>
      </w:pPr>
      <w:r>
        <w:rPr>
          <w:b/>
          <w:sz w:val="24"/>
        </w:rPr>
        <w:tab/>
        <w:t>6) ELENCO PREZZI E ANALISI NUOVI PREZZI</w:t>
      </w:r>
    </w:p>
    <w:p>
      <w:pPr>
        <w:pStyle w:val="NoSpacing"/>
        <w:ind w:firstLine="709"/>
        <w:jc w:val="both"/>
        <w:rPr>
          <w:sz w:val="24"/>
        </w:rPr>
      </w:pPr>
      <w:r>
        <w:rPr>
          <w:sz w:val="24"/>
        </w:rPr>
        <w:t xml:space="preserve">Sono stati elaborati un Elenco Prezzi e un’Analisi Nuovi prezzi prendendo come riferimento il Prezziario Regionale Veneto 2026, approvato con Deliberazione di Giunta Regionale n. 486 del 09/06/2026 </w:t>
      </w:r>
      <w:r>
        <w:rPr>
          <w:rFonts w:eastAsia="Calibri" w:cs="" w:cstheme="minorBidi" w:eastAsiaTheme="minorHAnsi"/>
          <w:color w:val="auto"/>
          <w:kern w:val="0"/>
          <w:sz w:val="24"/>
          <w:szCs w:val="22"/>
          <w:lang w:val="it-IT" w:eastAsia="en-US" w:bidi="ar-SA"/>
        </w:rPr>
        <w:t>in vigore dal 01/07/2026</w:t>
      </w:r>
      <w:r>
        <w:rPr>
          <w:sz w:val="24"/>
        </w:rPr>
        <w:t xml:space="preserve">. </w:t>
      </w:r>
    </w:p>
    <w:p>
      <w:pPr>
        <w:pStyle w:val="NoSpacing"/>
        <w:jc w:val="both"/>
        <w:rPr/>
      </w:pPr>
      <w:r>
        <w:rPr>
          <w:sz w:val="24"/>
        </w:rPr>
        <w:t xml:space="preserve">link: </w:t>
      </w:r>
      <w:hyperlink r:id="rId3">
        <w:r>
          <w:rPr>
            <w:rStyle w:val="CollegamentoInternet"/>
            <w:i/>
          </w:rPr>
          <w:t>https://www.regione.veneto.it/web/lavori-pubblici/prezzario-regionale</w:t>
        </w:r>
      </w:hyperlink>
      <w:r>
        <w:rPr/>
        <w:t xml:space="preserve"> </w:t>
      </w:r>
    </w:p>
    <w:p>
      <w:pPr>
        <w:pStyle w:val="NoSpacing"/>
        <w:jc w:val="both"/>
        <w:rPr>
          <w:sz w:val="24"/>
        </w:rPr>
      </w:pPr>
      <w:r>
        <w:rPr/>
        <w:t>Non è stato realizzato un computo metrico estimativo poiché l’</w:t>
      </w:r>
      <w:r>
        <w:rPr>
          <w:sz w:val="24"/>
        </w:rPr>
        <w:t xml:space="preserve">importo individuato è tarato sulla tipologia di intervento che deve essere realizzato e non sul numero di caditoie effettivamente presenti sul territorio. </w:t>
      </w:r>
    </w:p>
    <w:p>
      <w:pPr>
        <w:pStyle w:val="NoSpacing"/>
        <w:jc w:val="both"/>
        <w:rPr>
          <w:sz w:val="24"/>
        </w:rPr>
      </w:pPr>
      <w:r>
        <w:rPr>
          <w:sz w:val="24"/>
        </w:rPr>
      </w:r>
    </w:p>
    <w:p>
      <w:pPr>
        <w:pStyle w:val="NoSpacing"/>
        <w:jc w:val="both"/>
        <w:rPr>
          <w:sz w:val="24"/>
        </w:rPr>
      </w:pPr>
      <w:r>
        <w:rPr>
          <w:sz w:val="24"/>
        </w:rPr>
        <w:t>La pulitura caditoie configurabile come intervento di manutenzione straordinaria dato il carattere di eccezionalità rispetto alla pulizia è destinato a diventare una manutenzione ordinaria laddove sarà programmata una cifra da destinarsi nel capitolo dedicato.</w:t>
      </w:r>
    </w:p>
    <w:p>
      <w:pPr>
        <w:pStyle w:val="NoSpacing"/>
        <w:jc w:val="both"/>
        <w:rPr/>
      </w:pPr>
      <w:r>
        <w:rPr/>
      </w:r>
    </w:p>
    <w:sectPr>
      <w:headerReference w:type="default" r:id="rId4"/>
      <w:headerReference w:type="first" r:id="rId5"/>
      <w:footerReference w:type="default" r:id="rId6"/>
      <w:footerReference w:type="first" r:id="rId7"/>
      <w:type w:val="nextPage"/>
      <w:pgSz w:w="11906" w:h="16838"/>
      <w:pgMar w:left="1134" w:right="1134" w:header="708" w:top="1417" w:footer="708"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49285665"/>
    </w:sdtPr>
    <w:sdtContent>
      <w:p>
        <w:pPr>
          <w:pStyle w:val="Pidipagina"/>
          <w:jc w:val="right"/>
          <w:rPr/>
        </w:pPr>
        <w:r>
          <w:rPr/>
          <w:fldChar w:fldCharType="begin"/>
        </w:r>
        <w:r>
          <w:rPr/>
          <w:instrText> PAGE </w:instrText>
        </w:r>
        <w:r>
          <w:rPr/>
          <w:fldChar w:fldCharType="separate"/>
        </w:r>
        <w:r>
          <w:rPr/>
          <w:t>4</w:t>
        </w:r>
        <w:r>
          <w:rPr/>
          <w:fldChar w:fldCharType="end"/>
        </w:r>
      </w:p>
    </w:sdtContent>
  </w:sdt>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f197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Header"/>
    <w:uiPriority w:val="99"/>
    <w:semiHidden/>
    <w:qFormat/>
    <w:rsid w:val="004d5a1b"/>
    <w:rPr/>
  </w:style>
  <w:style w:type="character" w:styleId="PidipaginaCarattere" w:customStyle="1">
    <w:name w:val="Piè di pagina Carattere"/>
    <w:basedOn w:val="DefaultParagraphFont"/>
    <w:link w:val="Footer"/>
    <w:uiPriority w:val="99"/>
    <w:qFormat/>
    <w:rsid w:val="004d5a1b"/>
    <w:rPr/>
  </w:style>
  <w:style w:type="character" w:styleId="TestofumettoCarattere" w:customStyle="1">
    <w:name w:val="Testo fumetto Carattere"/>
    <w:basedOn w:val="DefaultParagraphFont"/>
    <w:link w:val="Testofumetto"/>
    <w:uiPriority w:val="99"/>
    <w:semiHidden/>
    <w:qFormat/>
    <w:rsid w:val="00f3699e"/>
    <w:rPr>
      <w:rFonts w:ascii="Tahoma" w:hAnsi="Tahoma" w:cs="Tahoma"/>
      <w:sz w:val="16"/>
      <w:szCs w:val="16"/>
    </w:rPr>
  </w:style>
  <w:style w:type="character" w:styleId="CollegamentoInternet" w:customStyle="1">
    <w:name w:val="Collegamento Internet"/>
    <w:basedOn w:val="DefaultParagraphFont"/>
    <w:uiPriority w:val="99"/>
    <w:unhideWhenUsed/>
    <w:rsid w:val="00317fe1"/>
    <w:rPr>
      <w:color w:val="0000FF"/>
      <w:u w:val="single"/>
    </w:rPr>
  </w:style>
  <w:style w:type="character" w:styleId="CollegamentoInternetvisitato">
    <w:name w:val="Collegamento Internet visitato"/>
    <w:basedOn w:val="DefaultParagraphFont"/>
    <w:uiPriority w:val="99"/>
    <w:semiHidden/>
    <w:unhideWhenUsed/>
    <w:qFormat/>
    <w:rsid w:val="000b59c4"/>
    <w:rPr>
      <w:color w:val="800080" w:themeColor="followedHyperlink"/>
      <w:u w:val="single"/>
    </w:rPr>
  </w:style>
  <w:style w:type="character" w:styleId="Enfasiforte" w:customStyle="1">
    <w:name w:val="Enfasi forte"/>
    <w:qFormat/>
    <w:rsid w:val="00210f3e"/>
    <w:rPr>
      <w:b/>
      <w:bCs/>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rsid w:val="00ec31a6"/>
    <w:pPr>
      <w:spacing w:before="0" w:after="140"/>
    </w:pPr>
    <w:rPr/>
  </w:style>
  <w:style w:type="paragraph" w:styleId="Elenco">
    <w:name w:val="List"/>
    <w:basedOn w:val="Corpodeltesto"/>
    <w:rsid w:val="00ec31a6"/>
    <w:pPr/>
    <w:rPr>
      <w:rFonts w:cs="Arial"/>
    </w:rPr>
  </w:style>
  <w:style w:type="paragraph" w:styleId="Didascalia" w:customStyle="1">
    <w:name w:val="Caption"/>
    <w:basedOn w:val="Normal"/>
    <w:qFormat/>
    <w:rsid w:val="00ec31a6"/>
    <w:pPr>
      <w:suppressLineNumbers/>
      <w:spacing w:before="120" w:after="120"/>
    </w:pPr>
    <w:rPr>
      <w:rFonts w:cs="Arial"/>
      <w:i/>
      <w:iCs/>
      <w:sz w:val="24"/>
      <w:szCs w:val="24"/>
    </w:rPr>
  </w:style>
  <w:style w:type="paragraph" w:styleId="Indice" w:customStyle="1">
    <w:name w:val="Indice"/>
    <w:basedOn w:val="Normal"/>
    <w:qFormat/>
    <w:rsid w:val="00ec31a6"/>
    <w:pPr>
      <w:suppressLineNumbers/>
    </w:pPr>
    <w:rPr>
      <w:rFonts w:cs="Arial"/>
    </w:rPr>
  </w:style>
  <w:style w:type="paragraph" w:styleId="Titoloprincipale">
    <w:name w:val="Title"/>
    <w:basedOn w:val="Normal"/>
    <w:next w:val="Corpodeltesto"/>
    <w:qFormat/>
    <w:rsid w:val="00ec31a6"/>
    <w:pPr>
      <w:keepNext w:val="true"/>
      <w:spacing w:before="240" w:after="120"/>
    </w:pPr>
    <w:rPr>
      <w:rFonts w:ascii="Liberation Sans" w:hAnsi="Liberation Sans" w:eastAsia="Microsoft YaHei" w:cs="Arial"/>
      <w:sz w:val="28"/>
      <w:szCs w:val="28"/>
    </w:rPr>
  </w:style>
  <w:style w:type="paragraph" w:styleId="ListParagraph">
    <w:name w:val="List Paragraph"/>
    <w:basedOn w:val="Normal"/>
    <w:uiPriority w:val="34"/>
    <w:qFormat/>
    <w:rsid w:val="004f5a52"/>
    <w:pPr>
      <w:spacing w:before="0" w:after="200"/>
      <w:ind w:left="720" w:hanging="0"/>
      <w:contextualSpacing/>
    </w:pPr>
    <w:rPr/>
  </w:style>
  <w:style w:type="paragraph" w:styleId="NoSpacing">
    <w:name w:val="No Spacing"/>
    <w:uiPriority w:val="1"/>
    <w:qFormat/>
    <w:rsid w:val="009f1835"/>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Intestazioneepidipagina" w:customStyle="1">
    <w:name w:val="Intestazione e piè di pagina"/>
    <w:basedOn w:val="Normal"/>
    <w:qFormat/>
    <w:rsid w:val="00ec31a6"/>
    <w:pPr/>
    <w:rPr/>
  </w:style>
  <w:style w:type="paragraph" w:styleId="Intestazione" w:customStyle="1">
    <w:name w:val="Header"/>
    <w:basedOn w:val="Normal"/>
    <w:link w:val="IntestazioneCarattere"/>
    <w:uiPriority w:val="99"/>
    <w:semiHidden/>
    <w:unhideWhenUsed/>
    <w:rsid w:val="004d5a1b"/>
    <w:pPr>
      <w:tabs>
        <w:tab w:val="clear" w:pos="708"/>
        <w:tab w:val="center" w:pos="4819" w:leader="none"/>
        <w:tab w:val="right" w:pos="9638" w:leader="none"/>
      </w:tabs>
      <w:spacing w:lineRule="auto" w:line="240" w:before="0" w:after="0"/>
    </w:pPr>
    <w:rPr/>
  </w:style>
  <w:style w:type="paragraph" w:styleId="Pidipagina" w:customStyle="1">
    <w:name w:val="Footer"/>
    <w:basedOn w:val="Normal"/>
    <w:link w:val="PidipaginaCarattere"/>
    <w:uiPriority w:val="99"/>
    <w:unhideWhenUsed/>
    <w:rsid w:val="004d5a1b"/>
    <w:pPr>
      <w:tabs>
        <w:tab w:val="clear" w:pos="708"/>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f3699e"/>
    <w:pPr>
      <w:spacing w:lineRule="auto" w:line="240" w:before="0" w:after="0"/>
    </w:pPr>
    <w:rPr>
      <w:rFonts w:ascii="Tahoma" w:hAnsi="Tahoma" w:cs="Tahoma"/>
      <w:sz w:val="16"/>
      <w:szCs w:val="16"/>
    </w:rPr>
  </w:style>
  <w:style w:type="paragraph" w:styleId="Contenutocornice" w:customStyle="1">
    <w:name w:val="Contenuto cornice"/>
    <w:basedOn w:val="Normal"/>
    <w:qFormat/>
    <w:rsid w:val="00ec31a6"/>
    <w:pPr/>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regione.veneto.it/web/lavori-pubblici/prezzario-regionale"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92ECBF-79B3-4D75-86A5-1F2EC8096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Application>LibreOffice/6.4.6.1$Windows_x86 LibreOffice_project/985dd72ca280d5c6da2e9f90f7ff9286cafe7ff8</Application>
  <Pages>4</Pages>
  <Words>941</Words>
  <Characters>5785</Characters>
  <CharactersWithSpaces>6736</CharactersWithSpaces>
  <Paragraphs>39</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2022-11-09T09:58:00Z</dcterms:created>
  <dc:creator>Matteo piazza</dc:creator>
  <dc:description/>
  <dc:language>it-IT</dc:language>
  <cp:lastModifiedBy/>
  <dcterms:modified xsi:type="dcterms:W3CDTF">2026-08-03T13:03:08Z</dcterms:modified>
  <cp:revision>144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 Inc.</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